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622E" w14:textId="344DA637" w:rsidR="00655C43" w:rsidRPr="00B10AAB" w:rsidRDefault="00655C43" w:rsidP="004B6552">
      <w:pPr>
        <w:tabs>
          <w:tab w:val="num" w:pos="720"/>
        </w:tabs>
        <w:jc w:val="center"/>
        <w:rPr>
          <w:b/>
          <w:bCs/>
          <w:sz w:val="20"/>
          <w:szCs w:val="20"/>
          <w:u w:val="single"/>
        </w:rPr>
      </w:pPr>
      <w:r w:rsidRPr="00B10AAB">
        <w:rPr>
          <w:b/>
          <w:bCs/>
          <w:sz w:val="20"/>
          <w:szCs w:val="20"/>
          <w:u w:val="single"/>
        </w:rPr>
        <w:t>Training placement</w:t>
      </w:r>
      <w:r w:rsidR="001622AA" w:rsidRPr="00B10AAB">
        <w:rPr>
          <w:b/>
          <w:bCs/>
          <w:sz w:val="20"/>
          <w:szCs w:val="20"/>
          <w:u w:val="single"/>
        </w:rPr>
        <w:t xml:space="preserve"> opportunity</w:t>
      </w:r>
      <w:r w:rsidRPr="00B10AAB">
        <w:rPr>
          <w:b/>
          <w:bCs/>
          <w:sz w:val="20"/>
          <w:szCs w:val="20"/>
          <w:u w:val="single"/>
        </w:rPr>
        <w:t xml:space="preserve"> in Haringey</w:t>
      </w:r>
      <w:r w:rsidR="001622AA" w:rsidRPr="00B10AAB">
        <w:rPr>
          <w:b/>
          <w:bCs/>
          <w:sz w:val="20"/>
          <w:szCs w:val="20"/>
          <w:u w:val="single"/>
        </w:rPr>
        <w:t xml:space="preserve"> Council</w:t>
      </w:r>
    </w:p>
    <w:p w14:paraId="02668633" w14:textId="77777777" w:rsidR="00655C43" w:rsidRPr="00B10AAB" w:rsidRDefault="00655C43" w:rsidP="00F1750E">
      <w:pPr>
        <w:tabs>
          <w:tab w:val="num" w:pos="720"/>
        </w:tabs>
        <w:rPr>
          <w:sz w:val="20"/>
          <w:szCs w:val="20"/>
        </w:rPr>
      </w:pPr>
    </w:p>
    <w:p w14:paraId="6D9E1E80" w14:textId="5122A4B0" w:rsidR="00C941F7" w:rsidRPr="00B10AAB" w:rsidRDefault="00C941F7" w:rsidP="00F76168">
      <w:pPr>
        <w:rPr>
          <w:rFonts w:eastAsia="Times New Roman"/>
          <w:color w:val="000000"/>
          <w:sz w:val="20"/>
          <w:szCs w:val="20"/>
        </w:rPr>
      </w:pPr>
      <w:r w:rsidRPr="005C752F">
        <w:rPr>
          <w:rFonts w:eastAsia="Times New Roman"/>
          <w:b/>
          <w:bCs/>
          <w:color w:val="000000"/>
          <w:sz w:val="20"/>
          <w:szCs w:val="20"/>
        </w:rPr>
        <w:t>Educational Supervisor</w:t>
      </w:r>
      <w:r w:rsidR="005C752F">
        <w:rPr>
          <w:rFonts w:eastAsia="Times New Roman"/>
          <w:color w:val="000000"/>
          <w:sz w:val="20"/>
          <w:szCs w:val="20"/>
        </w:rPr>
        <w:t xml:space="preserve">, </w:t>
      </w:r>
      <w:r w:rsidRPr="00B10AAB">
        <w:rPr>
          <w:rFonts w:eastAsia="Times New Roman"/>
          <w:color w:val="000000"/>
          <w:sz w:val="20"/>
          <w:szCs w:val="20"/>
        </w:rPr>
        <w:t>Susan Otiti, AD of Public Health</w:t>
      </w:r>
      <w:r w:rsidR="005C752F">
        <w:rPr>
          <w:rFonts w:eastAsia="Times New Roman"/>
          <w:color w:val="000000"/>
          <w:sz w:val="20"/>
          <w:szCs w:val="20"/>
        </w:rPr>
        <w:t xml:space="preserve">. </w:t>
      </w:r>
      <w:r w:rsidRPr="005C752F">
        <w:rPr>
          <w:rFonts w:eastAsia="Times New Roman"/>
          <w:b/>
          <w:bCs/>
          <w:color w:val="000000"/>
          <w:sz w:val="20"/>
          <w:szCs w:val="20"/>
        </w:rPr>
        <w:t>Director of Public Health</w:t>
      </w:r>
      <w:r w:rsidRPr="00B10AAB">
        <w:rPr>
          <w:rFonts w:eastAsia="Times New Roman"/>
          <w:color w:val="000000"/>
          <w:sz w:val="20"/>
          <w:szCs w:val="20"/>
        </w:rPr>
        <w:t xml:space="preserve"> Will </w:t>
      </w:r>
      <w:proofErr w:type="spellStart"/>
      <w:r w:rsidRPr="00B10AAB">
        <w:rPr>
          <w:rFonts w:eastAsia="Times New Roman"/>
          <w:color w:val="000000"/>
          <w:sz w:val="20"/>
          <w:szCs w:val="20"/>
        </w:rPr>
        <w:t>Maimaris</w:t>
      </w:r>
      <w:proofErr w:type="spellEnd"/>
    </w:p>
    <w:p w14:paraId="0EA473C1" w14:textId="77777777" w:rsidR="0085499D" w:rsidRPr="00B10AAB" w:rsidRDefault="0085499D" w:rsidP="00F76168">
      <w:pPr>
        <w:rPr>
          <w:rFonts w:eastAsia="Times New Roman"/>
          <w:color w:val="000000"/>
          <w:sz w:val="20"/>
          <w:szCs w:val="20"/>
        </w:rPr>
      </w:pPr>
    </w:p>
    <w:p w14:paraId="110F288A" w14:textId="7D5458DD" w:rsidR="00C93F41" w:rsidRPr="00B10AAB" w:rsidRDefault="003777CF" w:rsidP="00F1750E">
      <w:pPr>
        <w:jc w:val="both"/>
        <w:rPr>
          <w:rFonts w:eastAsia="Times New Roman"/>
          <w:b/>
          <w:bCs/>
          <w:i/>
          <w:iCs/>
          <w:color w:val="000000"/>
          <w:sz w:val="20"/>
          <w:szCs w:val="20"/>
        </w:rPr>
      </w:pPr>
      <w:r w:rsidRPr="00B10AAB">
        <w:rPr>
          <w:rFonts w:eastAsia="Times New Roman"/>
          <w:b/>
          <w:bCs/>
          <w:i/>
          <w:iCs/>
          <w:color w:val="000000"/>
          <w:sz w:val="20"/>
          <w:szCs w:val="20"/>
        </w:rPr>
        <w:t>Where is Haringey?</w:t>
      </w:r>
      <w:r w:rsidR="00B93EC4" w:rsidRPr="00B10AAB">
        <w:rPr>
          <w:rFonts w:eastAsia="Times New Roman"/>
          <w:b/>
          <w:bCs/>
          <w:i/>
          <w:iCs/>
          <w:color w:val="000000"/>
          <w:sz w:val="20"/>
          <w:szCs w:val="20"/>
        </w:rPr>
        <w:t xml:space="preserve"> </w:t>
      </w:r>
      <w:r w:rsidR="00FE0980">
        <w:rPr>
          <w:rFonts w:eastAsia="Times New Roman"/>
          <w:color w:val="000000"/>
          <w:sz w:val="20"/>
          <w:szCs w:val="20"/>
        </w:rPr>
        <w:t>I</w:t>
      </w:r>
      <w:r w:rsidR="00957334" w:rsidRPr="00B10AAB">
        <w:rPr>
          <w:rFonts w:eastAsia="Times New Roman"/>
          <w:color w:val="000000"/>
          <w:sz w:val="20"/>
          <w:szCs w:val="20"/>
        </w:rPr>
        <w:t>n north London</w:t>
      </w:r>
      <w:r w:rsidR="00FE0980">
        <w:rPr>
          <w:rFonts w:eastAsia="Times New Roman"/>
          <w:color w:val="000000"/>
          <w:sz w:val="20"/>
          <w:szCs w:val="20"/>
        </w:rPr>
        <w:t>, i</w:t>
      </w:r>
      <w:r w:rsidR="00957334" w:rsidRPr="00B10AAB">
        <w:rPr>
          <w:rFonts w:eastAsia="Times New Roman"/>
          <w:color w:val="000000"/>
          <w:sz w:val="20"/>
          <w:szCs w:val="20"/>
        </w:rPr>
        <w:t xml:space="preserve">t stretches from Muswell Hill in the west to Tottenham in the east. The council offices are in Wood Green opposite the tube station on the Piccadilly Line. </w:t>
      </w:r>
      <w:r w:rsidR="006D736D" w:rsidRPr="00B10AAB">
        <w:rPr>
          <w:rFonts w:eastAsia="Times New Roman"/>
          <w:color w:val="000000"/>
          <w:sz w:val="20"/>
          <w:szCs w:val="20"/>
        </w:rPr>
        <w:t xml:space="preserve">We have the historic Alexandra Palace and the </w:t>
      </w:r>
      <w:r w:rsidR="00F76168" w:rsidRPr="00B10AAB">
        <w:rPr>
          <w:rFonts w:eastAsia="Times New Roman"/>
          <w:color w:val="000000"/>
          <w:sz w:val="20"/>
          <w:szCs w:val="20"/>
        </w:rPr>
        <w:t>state-of-the-art</w:t>
      </w:r>
      <w:r w:rsidR="006D736D" w:rsidRPr="00B10AAB">
        <w:rPr>
          <w:rFonts w:eastAsia="Times New Roman"/>
          <w:color w:val="000000"/>
          <w:sz w:val="20"/>
          <w:szCs w:val="20"/>
        </w:rPr>
        <w:t xml:space="preserve"> Tottenham Hotspur Football Club.</w:t>
      </w:r>
      <w:r w:rsidR="00B10AAB" w:rsidRPr="00B10AAB">
        <w:rPr>
          <w:rFonts w:eastAsia="Times New Roman"/>
          <w:b/>
          <w:bCs/>
          <w:i/>
          <w:iCs/>
          <w:color w:val="000000"/>
          <w:sz w:val="20"/>
          <w:szCs w:val="20"/>
        </w:rPr>
        <w:t xml:space="preserve"> </w:t>
      </w:r>
      <w:r w:rsidR="005C752F">
        <w:rPr>
          <w:rFonts w:asciiTheme="minorHAnsi" w:eastAsia="Times New Roman" w:hAnsiTheme="minorHAnsi" w:cstheme="minorHAnsi"/>
          <w:color w:val="000000"/>
          <w:sz w:val="20"/>
          <w:szCs w:val="20"/>
        </w:rPr>
        <w:t>A</w:t>
      </w:r>
      <w:r w:rsidR="001B2C51" w:rsidRPr="00B10AAB">
        <w:rPr>
          <w:rFonts w:asciiTheme="minorHAnsi" w:eastAsia="Times New Roman" w:hAnsiTheme="minorHAnsi" w:cstheme="minorHAnsi"/>
          <w:color w:val="000000"/>
          <w:sz w:val="20"/>
          <w:szCs w:val="20"/>
        </w:rPr>
        <w:t xml:space="preserve"> population of </w:t>
      </w:r>
      <w:r w:rsidR="00392C64" w:rsidRPr="00B10AAB">
        <w:rPr>
          <w:rFonts w:asciiTheme="minorHAnsi" w:eastAsia="Times New Roman" w:hAnsiTheme="minorHAnsi" w:cstheme="minorHAnsi"/>
          <w:color w:val="000000"/>
          <w:sz w:val="20"/>
          <w:szCs w:val="20"/>
        </w:rPr>
        <w:t>over 270,000</w:t>
      </w:r>
      <w:r w:rsidR="001B2C51" w:rsidRPr="00B10AAB">
        <w:rPr>
          <w:rFonts w:asciiTheme="minorHAnsi" w:eastAsia="Times New Roman" w:hAnsiTheme="minorHAnsi" w:cstheme="minorHAnsi"/>
          <w:color w:val="000000"/>
          <w:sz w:val="20"/>
          <w:szCs w:val="20"/>
        </w:rPr>
        <w:t xml:space="preserve">. </w:t>
      </w:r>
      <w:r w:rsidRPr="00B10AAB">
        <w:rPr>
          <w:rFonts w:asciiTheme="minorHAnsi" w:hAnsiTheme="minorHAnsi" w:cstheme="minorHAnsi"/>
          <w:color w:val="202124"/>
          <w:sz w:val="20"/>
          <w:szCs w:val="20"/>
          <w:shd w:val="clear" w:color="auto" w:fill="FFFFFF"/>
        </w:rPr>
        <w:t>It is a diverse and fast changing borough. Over 50% of our population overall, and three-quarters of our young people, are from ethnic minority backgrounds, and around 200 languages are spoken.</w:t>
      </w:r>
      <w:r w:rsidR="001B2C51" w:rsidRPr="00B10AAB">
        <w:rPr>
          <w:rFonts w:asciiTheme="minorHAnsi" w:eastAsia="Times New Roman" w:hAnsiTheme="minorHAnsi" w:cstheme="minorHAnsi"/>
          <w:color w:val="000000"/>
          <w:sz w:val="20"/>
          <w:szCs w:val="20"/>
        </w:rPr>
        <w:t xml:space="preserve"> </w:t>
      </w:r>
      <w:r w:rsidR="001B2C51" w:rsidRPr="00B10AAB">
        <w:rPr>
          <w:rFonts w:asciiTheme="minorHAnsi" w:hAnsiTheme="minorHAnsi" w:cstheme="minorHAnsi"/>
          <w:sz w:val="20"/>
          <w:szCs w:val="20"/>
        </w:rPr>
        <w:t>Haringey is the 4th most deprived</w:t>
      </w:r>
      <w:r w:rsidR="00FE0980">
        <w:rPr>
          <w:rFonts w:asciiTheme="minorHAnsi" w:hAnsiTheme="minorHAnsi" w:cstheme="minorHAnsi"/>
          <w:sz w:val="20"/>
          <w:szCs w:val="20"/>
        </w:rPr>
        <w:t xml:space="preserve"> borough</w:t>
      </w:r>
      <w:r w:rsidR="001B2C51" w:rsidRPr="00B10AAB">
        <w:rPr>
          <w:rFonts w:asciiTheme="minorHAnsi" w:hAnsiTheme="minorHAnsi" w:cstheme="minorHAnsi"/>
          <w:sz w:val="20"/>
          <w:szCs w:val="20"/>
        </w:rPr>
        <w:t xml:space="preserve"> in Londo</w:t>
      </w:r>
      <w:r w:rsidR="00FE0980">
        <w:rPr>
          <w:rFonts w:asciiTheme="minorHAnsi" w:hAnsiTheme="minorHAnsi" w:cstheme="minorHAnsi"/>
          <w:sz w:val="20"/>
          <w:szCs w:val="20"/>
        </w:rPr>
        <w:t>n</w:t>
      </w:r>
      <w:r w:rsidR="00B93EC4" w:rsidRPr="00B10AAB">
        <w:rPr>
          <w:rFonts w:asciiTheme="minorHAnsi" w:hAnsiTheme="minorHAnsi" w:cstheme="minorHAnsi"/>
          <w:sz w:val="20"/>
          <w:szCs w:val="20"/>
        </w:rPr>
        <w:t>.</w:t>
      </w:r>
      <w:r w:rsidR="001B2C51" w:rsidRPr="00B10AAB">
        <w:rPr>
          <w:rFonts w:asciiTheme="minorHAnsi" w:hAnsiTheme="minorHAnsi" w:cstheme="minorHAnsi"/>
          <w:sz w:val="20"/>
          <w:szCs w:val="20"/>
        </w:rPr>
        <w:t xml:space="preserve"> </w:t>
      </w:r>
      <w:r w:rsidR="00B10AAB" w:rsidRPr="00B10AAB">
        <w:rPr>
          <w:rFonts w:eastAsia="Times New Roman"/>
          <w:color w:val="000000"/>
          <w:sz w:val="20"/>
          <w:szCs w:val="20"/>
        </w:rPr>
        <w:t>L</w:t>
      </w:r>
      <w:r w:rsidR="00C93F41" w:rsidRPr="00B10AAB">
        <w:rPr>
          <w:sz w:val="20"/>
          <w:szCs w:val="20"/>
        </w:rPr>
        <w:t xml:space="preserve">ife expectancy is now </w:t>
      </w:r>
      <w:proofErr w:type="gramStart"/>
      <w:r w:rsidR="00C93F41" w:rsidRPr="00B10AAB">
        <w:rPr>
          <w:sz w:val="20"/>
          <w:szCs w:val="20"/>
        </w:rPr>
        <w:t>similar to</w:t>
      </w:r>
      <w:proofErr w:type="gramEnd"/>
      <w:r w:rsidR="00C93F41" w:rsidRPr="00B10AAB">
        <w:rPr>
          <w:sz w:val="20"/>
          <w:szCs w:val="20"/>
        </w:rPr>
        <w:t xml:space="preserve"> London and England. </w:t>
      </w:r>
      <w:r w:rsidR="00FE0980">
        <w:rPr>
          <w:sz w:val="20"/>
          <w:szCs w:val="20"/>
        </w:rPr>
        <w:t>We have</w:t>
      </w:r>
      <w:r w:rsidR="00C93F41" w:rsidRPr="00B10AAB">
        <w:rPr>
          <w:sz w:val="20"/>
          <w:szCs w:val="20"/>
        </w:rPr>
        <w:t xml:space="preserve"> a strong and proactive community and voluntary sector. Just over a quarter of Haringey is made up of open space. Clean air levels are in line with London but higher than the England average.</w:t>
      </w:r>
    </w:p>
    <w:p w14:paraId="34CF6A2A" w14:textId="55F974AD" w:rsidR="001622AA" w:rsidRPr="00B10AAB" w:rsidRDefault="001622AA" w:rsidP="001622AA">
      <w:pPr>
        <w:rPr>
          <w:rFonts w:asciiTheme="minorHAnsi" w:eastAsia="Times New Roman" w:hAnsiTheme="minorHAnsi" w:cstheme="minorHAnsi"/>
          <w:color w:val="000000"/>
          <w:sz w:val="20"/>
          <w:szCs w:val="20"/>
        </w:rPr>
      </w:pPr>
    </w:p>
    <w:p w14:paraId="3E330CF4" w14:textId="06C41FFE" w:rsidR="0062519E" w:rsidRPr="00B10AAB" w:rsidRDefault="00FE0980" w:rsidP="00B10AAB">
      <w:pPr>
        <w:jc w:val="both"/>
        <w:rPr>
          <w:rFonts w:asciiTheme="minorHAnsi" w:eastAsia="Times New Roman" w:hAnsiTheme="minorHAnsi" w:cstheme="minorHAnsi"/>
          <w:b/>
          <w:bCs/>
          <w:i/>
          <w:iCs/>
          <w:color w:val="000000"/>
          <w:sz w:val="20"/>
          <w:szCs w:val="20"/>
        </w:rPr>
      </w:pPr>
      <w:r>
        <w:rPr>
          <w:rFonts w:asciiTheme="minorHAnsi" w:eastAsia="Times New Roman" w:hAnsiTheme="minorHAnsi" w:cstheme="minorHAnsi"/>
          <w:b/>
          <w:bCs/>
          <w:i/>
          <w:iCs/>
          <w:color w:val="000000"/>
          <w:sz w:val="20"/>
          <w:szCs w:val="20"/>
        </w:rPr>
        <w:t>T</w:t>
      </w:r>
      <w:r w:rsidR="00655C43" w:rsidRPr="00B10AAB">
        <w:rPr>
          <w:rFonts w:asciiTheme="minorHAnsi" w:eastAsia="Times New Roman" w:hAnsiTheme="minorHAnsi" w:cstheme="minorHAnsi"/>
          <w:b/>
          <w:bCs/>
          <w:i/>
          <w:iCs/>
          <w:color w:val="000000"/>
          <w:sz w:val="20"/>
          <w:szCs w:val="20"/>
        </w:rPr>
        <w:t xml:space="preserve">he </w:t>
      </w:r>
      <w:r w:rsidR="00F76168" w:rsidRPr="00B10AAB">
        <w:rPr>
          <w:rFonts w:asciiTheme="minorHAnsi" w:eastAsia="Times New Roman" w:hAnsiTheme="minorHAnsi" w:cstheme="minorHAnsi"/>
          <w:b/>
          <w:bCs/>
          <w:i/>
          <w:iCs/>
          <w:color w:val="000000"/>
          <w:sz w:val="20"/>
          <w:szCs w:val="20"/>
        </w:rPr>
        <w:t xml:space="preserve">Public Health </w:t>
      </w:r>
      <w:r w:rsidR="00655C43" w:rsidRPr="00B10AAB">
        <w:rPr>
          <w:rFonts w:asciiTheme="minorHAnsi" w:eastAsia="Times New Roman" w:hAnsiTheme="minorHAnsi" w:cstheme="minorHAnsi"/>
          <w:b/>
          <w:bCs/>
          <w:i/>
          <w:iCs/>
          <w:color w:val="000000"/>
          <w:sz w:val="20"/>
          <w:szCs w:val="20"/>
        </w:rPr>
        <w:t>team</w:t>
      </w:r>
      <w:r w:rsidR="00B93EC4" w:rsidRPr="00B10AAB">
        <w:rPr>
          <w:rFonts w:asciiTheme="minorHAnsi" w:eastAsia="Times New Roman" w:hAnsiTheme="minorHAnsi" w:cstheme="minorHAnsi"/>
          <w:b/>
          <w:bCs/>
          <w:i/>
          <w:iCs/>
          <w:color w:val="000000"/>
          <w:sz w:val="20"/>
          <w:szCs w:val="20"/>
        </w:rPr>
        <w:t xml:space="preserve"> - </w:t>
      </w:r>
      <w:r>
        <w:rPr>
          <w:rFonts w:asciiTheme="minorHAnsi" w:eastAsia="Times New Roman" w:hAnsiTheme="minorHAnsi" w:cstheme="minorHAnsi"/>
          <w:color w:val="000000"/>
          <w:sz w:val="20"/>
          <w:szCs w:val="20"/>
        </w:rPr>
        <w:t>A</w:t>
      </w:r>
      <w:r w:rsidR="0062519E" w:rsidRPr="00B10AAB">
        <w:rPr>
          <w:rFonts w:asciiTheme="minorHAnsi" w:eastAsia="Times New Roman" w:hAnsiTheme="minorHAnsi" w:cstheme="minorHAnsi"/>
          <w:color w:val="000000"/>
          <w:sz w:val="20"/>
          <w:szCs w:val="20"/>
        </w:rPr>
        <w:t xml:space="preserve"> large </w:t>
      </w:r>
      <w:r w:rsidR="005C752F">
        <w:rPr>
          <w:rFonts w:asciiTheme="minorHAnsi" w:eastAsia="Times New Roman" w:hAnsiTheme="minorHAnsi" w:cstheme="minorHAnsi"/>
          <w:color w:val="000000"/>
          <w:sz w:val="20"/>
          <w:szCs w:val="20"/>
        </w:rPr>
        <w:t xml:space="preserve">multi-disciplinary </w:t>
      </w:r>
      <w:r w:rsidR="0062519E" w:rsidRPr="00B10AAB">
        <w:rPr>
          <w:rFonts w:asciiTheme="minorHAnsi" w:eastAsia="Times New Roman" w:hAnsiTheme="minorHAnsi" w:cstheme="minorHAnsi"/>
          <w:color w:val="000000"/>
          <w:sz w:val="20"/>
          <w:szCs w:val="20"/>
        </w:rPr>
        <w:t xml:space="preserve">team with over </w:t>
      </w:r>
      <w:r w:rsidR="00BC18B3" w:rsidRPr="00B10AAB">
        <w:rPr>
          <w:rFonts w:asciiTheme="minorHAnsi" w:eastAsia="Times New Roman" w:hAnsiTheme="minorHAnsi" w:cstheme="minorHAnsi"/>
          <w:color w:val="000000"/>
          <w:sz w:val="20"/>
          <w:szCs w:val="20"/>
        </w:rPr>
        <w:t>30</w:t>
      </w:r>
      <w:r w:rsidR="0062519E" w:rsidRPr="00B10AAB">
        <w:rPr>
          <w:rFonts w:asciiTheme="minorHAnsi" w:eastAsia="Times New Roman" w:hAnsiTheme="minorHAnsi" w:cstheme="minorHAnsi"/>
          <w:color w:val="000000"/>
          <w:sz w:val="20"/>
          <w:szCs w:val="20"/>
        </w:rPr>
        <w:t xml:space="preserve"> substantive members and over 20 interim posts supporting the covid response. </w:t>
      </w:r>
      <w:hyperlink r:id="rId5" w:history="1">
        <w:r w:rsidR="00106FC1" w:rsidRPr="00B10AAB">
          <w:rPr>
            <w:rStyle w:val="Hyperlink"/>
            <w:rFonts w:asciiTheme="minorHAnsi" w:hAnsiTheme="minorHAnsi" w:cstheme="minorHAnsi"/>
            <w:sz w:val="20"/>
            <w:szCs w:val="20"/>
          </w:rPr>
          <w:t>Public Health structure chart - September 2021</w:t>
        </w:r>
      </w:hyperlink>
      <w:r w:rsidR="00106FC1" w:rsidRPr="00B10AAB">
        <w:rPr>
          <w:rFonts w:asciiTheme="minorHAnsi" w:hAnsiTheme="minorHAnsi" w:cstheme="minorHAnsi"/>
          <w:sz w:val="20"/>
          <w:szCs w:val="20"/>
        </w:rPr>
        <w:t xml:space="preserve">. </w:t>
      </w:r>
    </w:p>
    <w:p w14:paraId="64B18E4E" w14:textId="77777777" w:rsidR="00FE0980" w:rsidRDefault="00FE0980" w:rsidP="00B10AAB">
      <w:pPr>
        <w:rPr>
          <w:rFonts w:asciiTheme="minorHAnsi" w:eastAsia="Times New Roman" w:hAnsiTheme="minorHAnsi" w:cstheme="minorHAnsi"/>
          <w:b/>
          <w:bCs/>
          <w:i/>
          <w:iCs/>
          <w:color w:val="000000"/>
          <w:sz w:val="20"/>
          <w:szCs w:val="20"/>
        </w:rPr>
      </w:pPr>
    </w:p>
    <w:p w14:paraId="36A6B2D9" w14:textId="292C29F9" w:rsidR="00B10AAB" w:rsidRPr="00B10AAB" w:rsidRDefault="00DD5A1E" w:rsidP="00B10AAB">
      <w:pPr>
        <w:rPr>
          <w:rFonts w:asciiTheme="minorHAnsi" w:eastAsia="Times New Roman" w:hAnsiTheme="minorHAnsi" w:cstheme="minorHAnsi"/>
          <w:b/>
          <w:bCs/>
          <w:i/>
          <w:iCs/>
          <w:color w:val="000000"/>
          <w:sz w:val="20"/>
          <w:szCs w:val="20"/>
        </w:rPr>
      </w:pPr>
      <w:r>
        <w:rPr>
          <w:rFonts w:asciiTheme="minorHAnsi" w:eastAsia="Times New Roman" w:hAnsiTheme="minorHAnsi" w:cstheme="minorHAnsi"/>
          <w:b/>
          <w:bCs/>
          <w:i/>
          <w:iCs/>
          <w:color w:val="000000"/>
          <w:sz w:val="20"/>
          <w:szCs w:val="20"/>
        </w:rPr>
        <w:t>What do we do?</w:t>
      </w:r>
      <w:r w:rsidR="00655C43" w:rsidRPr="00B10AAB">
        <w:rPr>
          <w:rFonts w:asciiTheme="minorHAnsi" w:eastAsia="Times New Roman" w:hAnsiTheme="minorHAnsi" w:cstheme="minorHAnsi"/>
          <w:b/>
          <w:bCs/>
          <w:i/>
          <w:iCs/>
          <w:color w:val="000000"/>
          <w:sz w:val="20"/>
          <w:szCs w:val="20"/>
        </w:rPr>
        <w:t xml:space="preserve"> </w:t>
      </w:r>
      <w:r>
        <w:rPr>
          <w:rFonts w:asciiTheme="minorHAnsi" w:eastAsia="Times New Roman" w:hAnsiTheme="minorHAnsi" w:cstheme="minorHAnsi"/>
          <w:b/>
          <w:bCs/>
          <w:i/>
          <w:iCs/>
          <w:color w:val="000000"/>
          <w:sz w:val="20"/>
          <w:szCs w:val="20"/>
        </w:rPr>
        <w:t>–</w:t>
      </w:r>
      <w:r w:rsidR="00B93EC4" w:rsidRPr="00B10AAB">
        <w:rPr>
          <w:rFonts w:asciiTheme="minorHAnsi" w:eastAsia="Times New Roman" w:hAnsiTheme="minorHAnsi" w:cstheme="minorHAnsi"/>
          <w:b/>
          <w:bCs/>
          <w:i/>
          <w:iCs/>
          <w:color w:val="000000"/>
          <w:sz w:val="20"/>
          <w:szCs w:val="20"/>
        </w:rPr>
        <w:t xml:space="preserve"> </w:t>
      </w:r>
      <w:r>
        <w:rPr>
          <w:sz w:val="20"/>
          <w:szCs w:val="20"/>
        </w:rPr>
        <w:t>We focus on</w:t>
      </w:r>
      <w:r w:rsidR="00171623" w:rsidRPr="00B10AAB">
        <w:rPr>
          <w:sz w:val="20"/>
          <w:szCs w:val="20"/>
        </w:rPr>
        <w:t xml:space="preserve"> improving the overall health and well-being of Haringey residents and addressing inequalities. The team works across three broad areas of work:</w:t>
      </w:r>
    </w:p>
    <w:p w14:paraId="4AE28898" w14:textId="5A69FD4C" w:rsidR="00171623" w:rsidRPr="00DD5A1E" w:rsidRDefault="00171623" w:rsidP="00DD5A1E">
      <w:pPr>
        <w:rPr>
          <w:rFonts w:asciiTheme="minorHAnsi" w:eastAsia="Times New Roman" w:hAnsiTheme="minorHAnsi" w:cstheme="minorHAnsi"/>
          <w:b/>
          <w:bCs/>
          <w:i/>
          <w:iCs/>
          <w:color w:val="000000"/>
          <w:sz w:val="20"/>
          <w:szCs w:val="20"/>
        </w:rPr>
      </w:pPr>
      <w:r w:rsidRPr="00DD5A1E">
        <w:rPr>
          <w:rStyle w:val="Strong"/>
          <w:sz w:val="20"/>
          <w:szCs w:val="20"/>
        </w:rPr>
        <w:t xml:space="preserve">Health improvement </w:t>
      </w:r>
      <w:r w:rsidRPr="00DD5A1E">
        <w:rPr>
          <w:sz w:val="20"/>
          <w:szCs w:val="20"/>
        </w:rPr>
        <w:t xml:space="preserve">includes programmes that work with individuals and the different Haringey communities to improve lifestyles </w:t>
      </w:r>
      <w:r w:rsidR="00716460" w:rsidRPr="00DD5A1E">
        <w:rPr>
          <w:sz w:val="20"/>
          <w:szCs w:val="20"/>
        </w:rPr>
        <w:t>e.g.,</w:t>
      </w:r>
      <w:r w:rsidRPr="00DD5A1E">
        <w:rPr>
          <w:sz w:val="20"/>
          <w:szCs w:val="20"/>
        </w:rPr>
        <w:t xml:space="preserve"> support in stopping smoking, encouraging physical activity and NHS Health Checks.</w:t>
      </w:r>
    </w:p>
    <w:p w14:paraId="034A4E5E" w14:textId="77777777" w:rsidR="00B10AAB" w:rsidRPr="00DD5A1E" w:rsidRDefault="00171623" w:rsidP="00DD5A1E">
      <w:pPr>
        <w:rPr>
          <w:rFonts w:asciiTheme="minorHAnsi" w:eastAsia="Times New Roman" w:hAnsiTheme="minorHAnsi" w:cstheme="minorHAnsi"/>
          <w:b/>
          <w:bCs/>
          <w:i/>
          <w:iCs/>
          <w:color w:val="000000"/>
          <w:sz w:val="20"/>
          <w:szCs w:val="20"/>
        </w:rPr>
      </w:pPr>
      <w:r w:rsidRPr="00DD5A1E">
        <w:rPr>
          <w:rStyle w:val="Strong"/>
          <w:sz w:val="20"/>
          <w:szCs w:val="20"/>
        </w:rPr>
        <w:t>Health protection</w:t>
      </w:r>
      <w:r w:rsidRPr="00DD5A1E">
        <w:rPr>
          <w:sz w:val="20"/>
          <w:szCs w:val="20"/>
        </w:rPr>
        <w:t xml:space="preserve"> includes protection against communicable diseases and use of legal or regulatory powers to improve health </w:t>
      </w:r>
      <w:r w:rsidR="00716460" w:rsidRPr="00DD5A1E">
        <w:rPr>
          <w:sz w:val="20"/>
          <w:szCs w:val="20"/>
        </w:rPr>
        <w:t>e.g.,</w:t>
      </w:r>
      <w:r w:rsidRPr="00DD5A1E">
        <w:rPr>
          <w:sz w:val="20"/>
          <w:szCs w:val="20"/>
        </w:rPr>
        <w:t xml:space="preserve"> immunisation and vaccination against childhood diseases, cancer screening programmes and traffic calming.</w:t>
      </w:r>
    </w:p>
    <w:p w14:paraId="44E04277" w14:textId="616BE558" w:rsidR="00171623" w:rsidRPr="00DD5A1E" w:rsidRDefault="00171623" w:rsidP="00DD5A1E">
      <w:pPr>
        <w:rPr>
          <w:rFonts w:asciiTheme="minorHAnsi" w:eastAsia="Times New Roman" w:hAnsiTheme="minorHAnsi" w:cstheme="minorHAnsi"/>
          <w:b/>
          <w:bCs/>
          <w:i/>
          <w:iCs/>
          <w:color w:val="000000"/>
          <w:sz w:val="20"/>
          <w:szCs w:val="20"/>
        </w:rPr>
      </w:pPr>
      <w:r w:rsidRPr="00DD5A1E">
        <w:rPr>
          <w:rStyle w:val="Strong"/>
          <w:sz w:val="20"/>
          <w:szCs w:val="20"/>
        </w:rPr>
        <w:t>Healthcare public health </w:t>
      </w:r>
      <w:r w:rsidRPr="00DD5A1E">
        <w:rPr>
          <w:sz w:val="20"/>
          <w:szCs w:val="20"/>
        </w:rPr>
        <w:t>incorporates the production and use of best evidence and a description of the needs of a community. It is about working with others, particularly NCL CCG and the local NHS Trusts to ensure commissioning and provision of health care is of high quality, equitable, appropriate to the needs of the population and gives good value for money. Examples include Joint Strategic Needs Assessments and design of evidence</w:t>
      </w:r>
      <w:r w:rsidR="00F1750E" w:rsidRPr="00DD5A1E">
        <w:rPr>
          <w:sz w:val="20"/>
          <w:szCs w:val="20"/>
        </w:rPr>
        <w:t>-</w:t>
      </w:r>
      <w:r w:rsidRPr="00DD5A1E">
        <w:rPr>
          <w:sz w:val="20"/>
          <w:szCs w:val="20"/>
        </w:rPr>
        <w:t>based care pathways.</w:t>
      </w:r>
    </w:p>
    <w:p w14:paraId="4381B184" w14:textId="1DEC51D2" w:rsidR="00F1750E" w:rsidRPr="00B10AAB" w:rsidRDefault="00171623" w:rsidP="00CA084F">
      <w:pPr>
        <w:jc w:val="both"/>
        <w:rPr>
          <w:rFonts w:asciiTheme="minorHAnsi" w:eastAsia="Times New Roman" w:hAnsiTheme="minorHAnsi" w:cstheme="minorHAnsi"/>
          <w:color w:val="000000"/>
          <w:sz w:val="20"/>
          <w:szCs w:val="20"/>
        </w:rPr>
      </w:pPr>
      <w:r w:rsidRPr="00B10AAB">
        <w:rPr>
          <w:rFonts w:asciiTheme="minorHAnsi" w:eastAsia="Times New Roman" w:hAnsiTheme="minorHAnsi" w:cstheme="minorHAnsi"/>
          <w:color w:val="000000"/>
          <w:sz w:val="20"/>
          <w:szCs w:val="20"/>
        </w:rPr>
        <w:t xml:space="preserve">You’ll gain ‘hands on’ experience of how a public health team can and does have an impact on the wider determinants of health. In Haringey we take a ‘health in all policies’ approach and work very closely with colleagues in various departments; housing, regeneration, children’s services, education, adult services, communications team to improve outcomes for Haringey residents with a particular focus on reducing health </w:t>
      </w:r>
      <w:proofErr w:type="spellStart"/>
      <w:proofErr w:type="gramStart"/>
      <w:r w:rsidRPr="00B10AAB">
        <w:rPr>
          <w:rFonts w:asciiTheme="minorHAnsi" w:eastAsia="Times New Roman" w:hAnsiTheme="minorHAnsi" w:cstheme="minorHAnsi"/>
          <w:color w:val="000000"/>
          <w:sz w:val="20"/>
          <w:szCs w:val="20"/>
        </w:rPr>
        <w:t>inequalities.</w:t>
      </w:r>
      <w:r w:rsidR="00F1750E" w:rsidRPr="00B10AAB">
        <w:rPr>
          <w:rFonts w:asciiTheme="minorHAnsi" w:eastAsia="Times New Roman" w:hAnsiTheme="minorHAnsi" w:cstheme="minorHAnsi"/>
          <w:color w:val="000000"/>
          <w:sz w:val="20"/>
          <w:szCs w:val="20"/>
        </w:rPr>
        <w:t>You’ll</w:t>
      </w:r>
      <w:proofErr w:type="spellEnd"/>
      <w:proofErr w:type="gramEnd"/>
      <w:r w:rsidR="00F1750E" w:rsidRPr="00B10AAB">
        <w:rPr>
          <w:rFonts w:asciiTheme="minorHAnsi" w:eastAsia="Times New Roman" w:hAnsiTheme="minorHAnsi" w:cstheme="minorHAnsi"/>
          <w:color w:val="000000"/>
          <w:sz w:val="20"/>
          <w:szCs w:val="20"/>
        </w:rPr>
        <w:t xml:space="preserve"> have the opportunity to work on short and long</w:t>
      </w:r>
      <w:r w:rsidR="0085499D" w:rsidRPr="00B10AAB">
        <w:rPr>
          <w:rFonts w:asciiTheme="minorHAnsi" w:eastAsia="Times New Roman" w:hAnsiTheme="minorHAnsi" w:cstheme="minorHAnsi"/>
          <w:color w:val="000000"/>
          <w:sz w:val="20"/>
          <w:szCs w:val="20"/>
        </w:rPr>
        <w:t>-</w:t>
      </w:r>
      <w:r w:rsidR="00F1750E" w:rsidRPr="00B10AAB">
        <w:rPr>
          <w:rFonts w:asciiTheme="minorHAnsi" w:eastAsia="Times New Roman" w:hAnsiTheme="minorHAnsi" w:cstheme="minorHAnsi"/>
          <w:color w:val="000000"/>
          <w:sz w:val="20"/>
          <w:szCs w:val="20"/>
        </w:rPr>
        <w:t>term projects and have the opportunity to work with local communities to make a difference.</w:t>
      </w:r>
    </w:p>
    <w:p w14:paraId="36FC8226" w14:textId="5789DD26" w:rsidR="00CA084F" w:rsidRPr="00B10AAB" w:rsidRDefault="00CA084F" w:rsidP="00CA084F">
      <w:pPr>
        <w:jc w:val="both"/>
        <w:rPr>
          <w:rFonts w:asciiTheme="minorHAnsi" w:eastAsia="Times New Roman" w:hAnsiTheme="minorHAnsi" w:cstheme="minorHAnsi"/>
          <w:color w:val="000000"/>
          <w:sz w:val="20"/>
          <w:szCs w:val="20"/>
        </w:rPr>
      </w:pPr>
    </w:p>
    <w:p w14:paraId="56224232" w14:textId="15653479" w:rsidR="0037758B" w:rsidRPr="00DD5A1E" w:rsidRDefault="00B93EC4" w:rsidP="00DD5A1E">
      <w:pPr>
        <w:jc w:val="both"/>
        <w:rPr>
          <w:rFonts w:asciiTheme="minorHAnsi" w:eastAsia="Times New Roman" w:hAnsiTheme="minorHAnsi" w:cstheme="minorHAnsi"/>
          <w:b/>
          <w:bCs/>
          <w:i/>
          <w:iCs/>
          <w:color w:val="000000"/>
          <w:sz w:val="20"/>
          <w:szCs w:val="20"/>
        </w:rPr>
      </w:pPr>
      <w:r w:rsidRPr="00B10AAB">
        <w:rPr>
          <w:rFonts w:asciiTheme="minorHAnsi" w:eastAsia="Times New Roman" w:hAnsiTheme="minorHAnsi" w:cstheme="minorHAnsi"/>
          <w:b/>
          <w:bCs/>
          <w:color w:val="000000"/>
          <w:sz w:val="20"/>
          <w:szCs w:val="20"/>
        </w:rPr>
        <w:t>T</w:t>
      </w:r>
      <w:r w:rsidR="00655C43" w:rsidRPr="00B10AAB">
        <w:rPr>
          <w:rFonts w:asciiTheme="minorHAnsi" w:eastAsia="Times New Roman" w:hAnsiTheme="minorHAnsi" w:cstheme="minorHAnsi"/>
          <w:b/>
          <w:bCs/>
          <w:i/>
          <w:iCs/>
          <w:color w:val="000000"/>
          <w:sz w:val="20"/>
          <w:szCs w:val="20"/>
        </w:rPr>
        <w:t>he links and partnerships</w:t>
      </w:r>
      <w:r w:rsidR="005416E5" w:rsidRPr="00B10AAB">
        <w:rPr>
          <w:rFonts w:asciiTheme="minorHAnsi" w:eastAsia="Times New Roman" w:hAnsiTheme="minorHAnsi" w:cstheme="minorHAnsi"/>
          <w:b/>
          <w:bCs/>
          <w:i/>
          <w:iCs/>
          <w:color w:val="000000"/>
          <w:sz w:val="20"/>
          <w:szCs w:val="20"/>
        </w:rPr>
        <w:t xml:space="preserve"> - </w:t>
      </w:r>
      <w:r w:rsidR="0085499D" w:rsidRPr="00B10AAB">
        <w:rPr>
          <w:rFonts w:asciiTheme="minorHAnsi" w:eastAsia="Times New Roman" w:hAnsiTheme="minorHAnsi" w:cstheme="minorHAnsi"/>
          <w:color w:val="000000"/>
          <w:sz w:val="20"/>
          <w:szCs w:val="20"/>
        </w:rPr>
        <w:t>Haringey has</w:t>
      </w:r>
      <w:r w:rsidR="00CA084F" w:rsidRPr="00B10AAB">
        <w:rPr>
          <w:rFonts w:asciiTheme="minorHAnsi" w:eastAsia="Times New Roman" w:hAnsiTheme="minorHAnsi" w:cstheme="minorHAnsi"/>
          <w:color w:val="000000"/>
          <w:sz w:val="20"/>
          <w:szCs w:val="20"/>
        </w:rPr>
        <w:t xml:space="preserve"> a </w:t>
      </w:r>
      <w:r w:rsidR="00F76168" w:rsidRPr="00B10AAB">
        <w:rPr>
          <w:rFonts w:asciiTheme="minorHAnsi" w:eastAsia="Times New Roman" w:hAnsiTheme="minorHAnsi" w:cstheme="minorHAnsi"/>
          <w:color w:val="000000"/>
          <w:sz w:val="20"/>
          <w:szCs w:val="20"/>
        </w:rPr>
        <w:t>Borough Plan 2019 – 2023, that set</w:t>
      </w:r>
      <w:r w:rsidR="0085499D" w:rsidRPr="00B10AAB">
        <w:rPr>
          <w:rFonts w:asciiTheme="minorHAnsi" w:eastAsia="Times New Roman" w:hAnsiTheme="minorHAnsi" w:cstheme="minorHAnsi"/>
          <w:color w:val="000000"/>
          <w:sz w:val="20"/>
          <w:szCs w:val="20"/>
        </w:rPr>
        <w:t>s</w:t>
      </w:r>
      <w:r w:rsidR="00F76168" w:rsidRPr="00B10AAB">
        <w:rPr>
          <w:rFonts w:asciiTheme="minorHAnsi" w:eastAsia="Times New Roman" w:hAnsiTheme="minorHAnsi" w:cstheme="minorHAnsi"/>
          <w:color w:val="000000"/>
          <w:sz w:val="20"/>
          <w:szCs w:val="20"/>
        </w:rPr>
        <w:t xml:space="preserve"> out the council’s ambition alongside </w:t>
      </w:r>
      <w:r w:rsidR="00CA084F" w:rsidRPr="00B10AAB">
        <w:rPr>
          <w:rFonts w:asciiTheme="minorHAnsi" w:eastAsia="Times New Roman" w:hAnsiTheme="minorHAnsi" w:cstheme="minorHAnsi"/>
          <w:color w:val="000000"/>
          <w:sz w:val="20"/>
          <w:szCs w:val="20"/>
        </w:rPr>
        <w:t>our</w:t>
      </w:r>
      <w:r w:rsidR="00F76168" w:rsidRPr="00B10AAB">
        <w:rPr>
          <w:rFonts w:asciiTheme="minorHAnsi" w:eastAsia="Times New Roman" w:hAnsiTheme="minorHAnsi" w:cstheme="minorHAnsi"/>
          <w:color w:val="000000"/>
          <w:sz w:val="20"/>
          <w:szCs w:val="20"/>
        </w:rPr>
        <w:t xml:space="preserve"> partners.</w:t>
      </w:r>
      <w:r w:rsidR="005416E5" w:rsidRPr="00B10AAB">
        <w:rPr>
          <w:rFonts w:asciiTheme="minorHAnsi" w:eastAsia="Times New Roman" w:hAnsiTheme="minorHAnsi" w:cstheme="minorHAnsi"/>
          <w:b/>
          <w:bCs/>
          <w:i/>
          <w:iCs/>
          <w:color w:val="000000"/>
          <w:sz w:val="20"/>
          <w:szCs w:val="20"/>
        </w:rPr>
        <w:t xml:space="preserve"> </w:t>
      </w:r>
      <w:hyperlink r:id="rId6" w:history="1">
        <w:r w:rsidR="00F76168" w:rsidRPr="00B10AAB">
          <w:rPr>
            <w:rStyle w:val="Hyperlink"/>
            <w:rFonts w:asciiTheme="minorHAnsi" w:hAnsiTheme="minorHAnsi" w:cstheme="minorHAnsi"/>
            <w:sz w:val="20"/>
            <w:szCs w:val="20"/>
          </w:rPr>
          <w:t>Borough Plan 2019-23 | Intranet</w:t>
        </w:r>
      </w:hyperlink>
      <w:r w:rsidR="00DD5A1E">
        <w:rPr>
          <w:rStyle w:val="Hyperlink"/>
          <w:rFonts w:asciiTheme="minorHAnsi" w:hAnsiTheme="minorHAnsi" w:cstheme="minorHAnsi"/>
          <w:sz w:val="20"/>
          <w:szCs w:val="20"/>
        </w:rPr>
        <w:t xml:space="preserve">. </w:t>
      </w:r>
      <w:r w:rsidR="00DD5A1E">
        <w:rPr>
          <w:rFonts w:asciiTheme="minorHAnsi" w:eastAsia="Times New Roman" w:hAnsiTheme="minorHAnsi" w:cstheme="minorHAnsi"/>
          <w:color w:val="000000"/>
          <w:sz w:val="20"/>
          <w:szCs w:val="20"/>
        </w:rPr>
        <w:t>The team</w:t>
      </w:r>
      <w:r w:rsidR="0037758B" w:rsidRPr="00B10AAB">
        <w:rPr>
          <w:rFonts w:asciiTheme="minorHAnsi" w:eastAsia="Times New Roman" w:hAnsiTheme="minorHAnsi" w:cstheme="minorHAnsi"/>
          <w:color w:val="000000"/>
          <w:sz w:val="20"/>
          <w:szCs w:val="20"/>
        </w:rPr>
        <w:t xml:space="preserve"> work</w:t>
      </w:r>
      <w:r w:rsidR="00DD5A1E">
        <w:rPr>
          <w:rFonts w:asciiTheme="minorHAnsi" w:eastAsia="Times New Roman" w:hAnsiTheme="minorHAnsi" w:cstheme="minorHAnsi"/>
          <w:color w:val="000000"/>
          <w:sz w:val="20"/>
          <w:szCs w:val="20"/>
        </w:rPr>
        <w:t>s</w:t>
      </w:r>
      <w:r w:rsidR="0037758B" w:rsidRPr="00B10AAB">
        <w:rPr>
          <w:rFonts w:asciiTheme="minorHAnsi" w:eastAsia="Times New Roman" w:hAnsiTheme="minorHAnsi" w:cstheme="minorHAnsi"/>
          <w:color w:val="000000"/>
          <w:sz w:val="20"/>
          <w:szCs w:val="20"/>
        </w:rPr>
        <w:t xml:space="preserve"> with our residents and the voluntary sector, particularly in terms of undertaking co-production to inform the commissioning and re-design of directly funded public health services such as our drug and alcohol services and our sexual health services. The council and the public health team works very closely with the local NHS commissioners and providers. The local NHS is part of North Central London Clinical Commissioning Group covering 5 boroughs (Barnet, Camden, Enfield, </w:t>
      </w:r>
      <w:r w:rsidR="00716460" w:rsidRPr="00B10AAB">
        <w:rPr>
          <w:rFonts w:asciiTheme="minorHAnsi" w:eastAsia="Times New Roman" w:hAnsiTheme="minorHAnsi" w:cstheme="minorHAnsi"/>
          <w:color w:val="000000"/>
          <w:sz w:val="20"/>
          <w:szCs w:val="20"/>
        </w:rPr>
        <w:t>Haringey,</w:t>
      </w:r>
      <w:r w:rsidR="0037758B" w:rsidRPr="00B10AAB">
        <w:rPr>
          <w:rFonts w:asciiTheme="minorHAnsi" w:eastAsia="Times New Roman" w:hAnsiTheme="minorHAnsi" w:cstheme="minorHAnsi"/>
          <w:color w:val="000000"/>
          <w:sz w:val="20"/>
          <w:szCs w:val="20"/>
        </w:rPr>
        <w:t xml:space="preserve"> and Islington). The Haringey CCG team is based in the council offices at Wood Green and share the same office floor as the Public Health team. This enables us to work very closely on all kinds of Healthcare Public Health activity such as service reviews, audits, health improvement etc. </w:t>
      </w:r>
    </w:p>
    <w:p w14:paraId="7B14F573" w14:textId="6E1949CA" w:rsidR="00171623" w:rsidRPr="00B10AAB" w:rsidRDefault="00171623" w:rsidP="00DD5A1E">
      <w:pPr>
        <w:jc w:val="both"/>
        <w:rPr>
          <w:rFonts w:asciiTheme="minorHAnsi" w:eastAsia="Times New Roman" w:hAnsiTheme="minorHAnsi" w:cstheme="minorHAnsi"/>
          <w:color w:val="000000"/>
          <w:sz w:val="20"/>
          <w:szCs w:val="20"/>
        </w:rPr>
      </w:pPr>
    </w:p>
    <w:p w14:paraId="4BB9CAD4" w14:textId="344D5340" w:rsidR="00171623" w:rsidRPr="00B10AAB" w:rsidRDefault="00171623" w:rsidP="00DD5A1E">
      <w:pPr>
        <w:jc w:val="both"/>
        <w:rPr>
          <w:sz w:val="20"/>
          <w:szCs w:val="20"/>
        </w:rPr>
      </w:pPr>
      <w:r w:rsidRPr="00B10AAB">
        <w:rPr>
          <w:sz w:val="20"/>
          <w:szCs w:val="20"/>
        </w:rPr>
        <w:t>At a strategic level in Haringey there is the Haringey Partnership Board and the Health and Wellbeing Board. Membership include</w:t>
      </w:r>
      <w:r w:rsidR="00F1750E" w:rsidRPr="00B10AAB">
        <w:rPr>
          <w:sz w:val="20"/>
          <w:szCs w:val="20"/>
        </w:rPr>
        <w:t>s</w:t>
      </w:r>
      <w:r w:rsidRPr="00B10AAB">
        <w:rPr>
          <w:sz w:val="20"/>
          <w:szCs w:val="20"/>
        </w:rPr>
        <w:t xml:space="preserve"> Chief Executives and Directors from the Council</w:t>
      </w:r>
      <w:r w:rsidR="00013B63">
        <w:rPr>
          <w:sz w:val="20"/>
          <w:szCs w:val="20"/>
        </w:rPr>
        <w:t xml:space="preserve"> including the Director of Public Health</w:t>
      </w:r>
      <w:r w:rsidRPr="00B10AAB">
        <w:rPr>
          <w:sz w:val="20"/>
          <w:szCs w:val="20"/>
        </w:rPr>
        <w:t xml:space="preserve">, CCG, NHS Trusts, elected members and the Voluntary and Community Sector. The Partnership Board is supported by 4 sub-groups; Start Well, Live Well, Age Well and Place. </w:t>
      </w:r>
    </w:p>
    <w:p w14:paraId="44F4888B" w14:textId="77777777" w:rsidR="00171623" w:rsidRPr="00B10AAB" w:rsidRDefault="00171623" w:rsidP="00DD5A1E">
      <w:pPr>
        <w:jc w:val="both"/>
        <w:rPr>
          <w:sz w:val="20"/>
          <w:szCs w:val="20"/>
        </w:rPr>
      </w:pPr>
    </w:p>
    <w:p w14:paraId="021232C3" w14:textId="1D39F99E" w:rsidR="00C80BBB" w:rsidRPr="005C752F" w:rsidRDefault="00B93EC4" w:rsidP="005C752F">
      <w:pPr>
        <w:jc w:val="both"/>
        <w:rPr>
          <w:rFonts w:asciiTheme="minorHAnsi" w:eastAsia="Times New Roman" w:hAnsiTheme="minorHAnsi" w:cstheme="minorHAnsi"/>
          <w:b/>
          <w:bCs/>
          <w:i/>
          <w:iCs/>
          <w:color w:val="000000"/>
          <w:sz w:val="20"/>
          <w:szCs w:val="20"/>
        </w:rPr>
      </w:pPr>
      <w:r w:rsidRPr="00B10AAB">
        <w:rPr>
          <w:rFonts w:asciiTheme="minorHAnsi" w:eastAsia="Times New Roman" w:hAnsiTheme="minorHAnsi" w:cstheme="minorHAnsi"/>
          <w:b/>
          <w:bCs/>
          <w:i/>
          <w:iCs/>
          <w:color w:val="000000"/>
          <w:sz w:val="20"/>
          <w:szCs w:val="20"/>
        </w:rPr>
        <w:t>O</w:t>
      </w:r>
      <w:r w:rsidR="00655C43" w:rsidRPr="00B10AAB">
        <w:rPr>
          <w:rFonts w:asciiTheme="minorHAnsi" w:eastAsia="Times New Roman" w:hAnsiTheme="minorHAnsi" w:cstheme="minorHAnsi"/>
          <w:b/>
          <w:bCs/>
          <w:i/>
          <w:iCs/>
          <w:color w:val="000000"/>
          <w:sz w:val="20"/>
          <w:szCs w:val="20"/>
        </w:rPr>
        <w:t xml:space="preserve">ther benefits of working in </w:t>
      </w:r>
      <w:r w:rsidR="00DD5A1E">
        <w:rPr>
          <w:rFonts w:asciiTheme="minorHAnsi" w:eastAsia="Times New Roman" w:hAnsiTheme="minorHAnsi" w:cstheme="minorHAnsi"/>
          <w:b/>
          <w:bCs/>
          <w:i/>
          <w:iCs/>
          <w:color w:val="000000"/>
          <w:sz w:val="20"/>
          <w:szCs w:val="20"/>
        </w:rPr>
        <w:t>Haringey</w:t>
      </w:r>
      <w:r w:rsidR="005416E5" w:rsidRPr="00B10AAB">
        <w:rPr>
          <w:rFonts w:asciiTheme="minorHAnsi" w:eastAsia="Times New Roman" w:hAnsiTheme="minorHAnsi" w:cstheme="minorHAnsi"/>
          <w:b/>
          <w:bCs/>
          <w:i/>
          <w:iCs/>
          <w:color w:val="000000"/>
          <w:sz w:val="20"/>
          <w:szCs w:val="20"/>
        </w:rPr>
        <w:t xml:space="preserve"> - </w:t>
      </w:r>
      <w:r w:rsidR="00013B63">
        <w:rPr>
          <w:sz w:val="20"/>
          <w:szCs w:val="20"/>
          <w:lang w:eastAsia="en-GB"/>
        </w:rPr>
        <w:t>We</w:t>
      </w:r>
      <w:r w:rsidR="00C93F41" w:rsidRPr="00B10AAB">
        <w:rPr>
          <w:sz w:val="20"/>
          <w:szCs w:val="20"/>
          <w:lang w:eastAsia="en-GB"/>
        </w:rPr>
        <w:t xml:space="preserve"> proactively</w:t>
      </w:r>
      <w:r w:rsidR="00DD5A1E">
        <w:rPr>
          <w:sz w:val="20"/>
          <w:szCs w:val="20"/>
          <w:lang w:eastAsia="en-GB"/>
        </w:rPr>
        <w:t xml:space="preserve"> </w:t>
      </w:r>
      <w:r w:rsidR="00C93F41" w:rsidRPr="00B10AAB">
        <w:rPr>
          <w:sz w:val="20"/>
          <w:szCs w:val="20"/>
          <w:lang w:eastAsia="en-GB"/>
        </w:rPr>
        <w:t xml:space="preserve">support educational opportunities. On a rolling basis we have Paediatric Registrars and F2 doctors undertake placements varying from 4 – 12 months and local government graduates on a regular basis for 6 months. </w:t>
      </w:r>
      <w:r w:rsidR="00DD5A1E">
        <w:rPr>
          <w:sz w:val="20"/>
          <w:szCs w:val="20"/>
          <w:lang w:eastAsia="en-GB"/>
        </w:rPr>
        <w:t>Y</w:t>
      </w:r>
      <w:r w:rsidR="00C93F41" w:rsidRPr="00B10AAB">
        <w:rPr>
          <w:sz w:val="20"/>
          <w:szCs w:val="20"/>
          <w:lang w:eastAsia="en-GB"/>
        </w:rPr>
        <w:t xml:space="preserve">ou will have the opportunity to join a ‘ready-made’ learning set.  </w:t>
      </w:r>
      <w:r w:rsidR="00CA084F" w:rsidRPr="00B10AAB">
        <w:rPr>
          <w:sz w:val="20"/>
          <w:szCs w:val="20"/>
          <w:lang w:eastAsia="en-GB"/>
        </w:rPr>
        <w:t xml:space="preserve">Online Learning will be provided to prepare for working </w:t>
      </w:r>
      <w:r w:rsidR="005C752F">
        <w:rPr>
          <w:sz w:val="20"/>
          <w:szCs w:val="20"/>
          <w:lang w:eastAsia="en-GB"/>
        </w:rPr>
        <w:t>in the council</w:t>
      </w:r>
      <w:r w:rsidR="00CA084F" w:rsidRPr="00B10AAB">
        <w:rPr>
          <w:sz w:val="20"/>
          <w:szCs w:val="20"/>
          <w:lang w:eastAsia="en-GB"/>
        </w:rPr>
        <w:t>. And you will have regular supervision with the Educational Supervisor and the Project Supervisors.</w:t>
      </w:r>
      <w:r w:rsidR="005C752F">
        <w:rPr>
          <w:rFonts w:asciiTheme="minorHAnsi" w:eastAsia="Times New Roman" w:hAnsiTheme="minorHAnsi" w:cstheme="minorHAnsi"/>
          <w:b/>
          <w:bCs/>
          <w:i/>
          <w:iCs/>
          <w:color w:val="000000"/>
          <w:sz w:val="20"/>
          <w:szCs w:val="20"/>
        </w:rPr>
        <w:t xml:space="preserve"> </w:t>
      </w:r>
      <w:r w:rsidR="00CA084F" w:rsidRPr="00B10AAB">
        <w:rPr>
          <w:sz w:val="20"/>
          <w:szCs w:val="20"/>
          <w:lang w:eastAsia="en-GB"/>
        </w:rPr>
        <w:t xml:space="preserve">You’ll have the opportunity to get involved in </w:t>
      </w:r>
      <w:r w:rsidR="005C752F">
        <w:rPr>
          <w:sz w:val="20"/>
          <w:szCs w:val="20"/>
          <w:lang w:eastAsia="en-GB"/>
        </w:rPr>
        <w:t>other</w:t>
      </w:r>
      <w:r w:rsidR="00CA084F" w:rsidRPr="00B10AAB">
        <w:rPr>
          <w:sz w:val="20"/>
          <w:szCs w:val="20"/>
          <w:lang w:eastAsia="en-GB"/>
        </w:rPr>
        <w:t xml:space="preserve"> council business</w:t>
      </w:r>
      <w:r w:rsidR="00F1750E" w:rsidRPr="00B10AAB">
        <w:rPr>
          <w:sz w:val="20"/>
          <w:szCs w:val="20"/>
          <w:lang w:eastAsia="en-GB"/>
        </w:rPr>
        <w:t>. Previous registrars</w:t>
      </w:r>
      <w:r w:rsidR="005C752F">
        <w:rPr>
          <w:sz w:val="20"/>
          <w:szCs w:val="20"/>
          <w:lang w:eastAsia="en-GB"/>
        </w:rPr>
        <w:t xml:space="preserve"> took part</w:t>
      </w:r>
      <w:r w:rsidR="00F1750E" w:rsidRPr="00B10AAB">
        <w:rPr>
          <w:sz w:val="20"/>
          <w:szCs w:val="20"/>
          <w:lang w:eastAsia="en-GB"/>
        </w:rPr>
        <w:t xml:space="preserve"> in the local election voting count and the planting trees programme.</w:t>
      </w:r>
    </w:p>
    <w:sectPr w:rsidR="00C80BBB" w:rsidRPr="005C7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C8C"/>
    <w:multiLevelType w:val="hybridMultilevel"/>
    <w:tmpl w:val="FBFC789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063D3"/>
    <w:multiLevelType w:val="multilevel"/>
    <w:tmpl w:val="D804C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77EEE"/>
    <w:multiLevelType w:val="hybridMultilevel"/>
    <w:tmpl w:val="A6BA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C4554"/>
    <w:multiLevelType w:val="hybridMultilevel"/>
    <w:tmpl w:val="25B8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E77AE"/>
    <w:multiLevelType w:val="hybridMultilevel"/>
    <w:tmpl w:val="3D40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35598"/>
    <w:multiLevelType w:val="multilevel"/>
    <w:tmpl w:val="FD2AD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17B4D"/>
    <w:multiLevelType w:val="multilevel"/>
    <w:tmpl w:val="3B72DFCE"/>
    <w:lvl w:ilvl="0">
      <w:start w:val="1"/>
      <w:numFmt w:val="decimal"/>
      <w:pStyle w:val="Heading1"/>
      <w:lvlText w:val="%1."/>
      <w:lvlJc w:val="left"/>
      <w:pPr>
        <w:tabs>
          <w:tab w:val="num" w:pos="-491"/>
        </w:tabs>
        <w:ind w:left="-491" w:hanging="360"/>
      </w:pPr>
      <w:rPr>
        <w:rFonts w:hint="default"/>
      </w:rPr>
    </w:lvl>
    <w:lvl w:ilvl="1">
      <w:start w:val="1"/>
      <w:numFmt w:val="decimal"/>
      <w:pStyle w:val="Heading2"/>
      <w:lvlText w:val="%1.%2."/>
      <w:lvlJc w:val="left"/>
      <w:pPr>
        <w:tabs>
          <w:tab w:val="num" w:pos="-59"/>
        </w:tabs>
        <w:ind w:left="-59" w:hanging="432"/>
      </w:pPr>
      <w:rPr>
        <w:rFonts w:hint="default"/>
      </w:rPr>
    </w:lvl>
    <w:lvl w:ilvl="2">
      <w:start w:val="1"/>
      <w:numFmt w:val="decimal"/>
      <w:pStyle w:val="Heading3"/>
      <w:lvlText w:val="%1.%2.%3."/>
      <w:lvlJc w:val="left"/>
      <w:pPr>
        <w:tabs>
          <w:tab w:val="num" w:pos="589"/>
        </w:tabs>
        <w:ind w:left="373" w:hanging="504"/>
      </w:pPr>
      <w:rPr>
        <w:rFonts w:hint="default"/>
      </w:rPr>
    </w:lvl>
    <w:lvl w:ilvl="3">
      <w:start w:val="1"/>
      <w:numFmt w:val="decimal"/>
      <w:lvlText w:val="%1.%2.%3.%4."/>
      <w:lvlJc w:val="left"/>
      <w:pPr>
        <w:tabs>
          <w:tab w:val="num" w:pos="1309"/>
        </w:tabs>
        <w:ind w:left="877" w:hanging="648"/>
      </w:pPr>
      <w:rPr>
        <w:rFonts w:hint="default"/>
      </w:rPr>
    </w:lvl>
    <w:lvl w:ilvl="4">
      <w:start w:val="1"/>
      <w:numFmt w:val="decimal"/>
      <w:lvlText w:val="%1.%2.%3.%4.%5."/>
      <w:lvlJc w:val="left"/>
      <w:pPr>
        <w:tabs>
          <w:tab w:val="num" w:pos="1669"/>
        </w:tabs>
        <w:ind w:left="1381" w:hanging="792"/>
      </w:pPr>
      <w:rPr>
        <w:rFonts w:hint="default"/>
      </w:rPr>
    </w:lvl>
    <w:lvl w:ilvl="5">
      <w:start w:val="1"/>
      <w:numFmt w:val="decimal"/>
      <w:lvlText w:val="%1.%2.%3.%4.%5.%6."/>
      <w:lvlJc w:val="left"/>
      <w:pPr>
        <w:tabs>
          <w:tab w:val="num" w:pos="238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7" w15:restartNumberingAfterBreak="0">
    <w:nsid w:val="57245B2C"/>
    <w:multiLevelType w:val="multilevel"/>
    <w:tmpl w:val="C1E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836F5"/>
    <w:multiLevelType w:val="hybridMultilevel"/>
    <w:tmpl w:val="1A0816D2"/>
    <w:lvl w:ilvl="0" w:tplc="75EC5D38">
      <w:start w:val="1"/>
      <w:numFmt w:val="bullet"/>
      <w:lvlText w:val=""/>
      <w:lvlJc w:val="left"/>
      <w:pPr>
        <w:tabs>
          <w:tab w:val="num" w:pos="68"/>
        </w:tabs>
        <w:ind w:left="352" w:hanging="284"/>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E40E0F"/>
    <w:multiLevelType w:val="multilevel"/>
    <w:tmpl w:val="35240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
  </w:num>
  <w:num w:numId="4">
    <w:abstractNumId w:val="0"/>
  </w:num>
  <w:num w:numId="5">
    <w:abstractNumId w:val="6"/>
  </w:num>
  <w:num w:numId="6">
    <w:abstractNumId w:val="8"/>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43"/>
    <w:rsid w:val="00013B63"/>
    <w:rsid w:val="00106FC1"/>
    <w:rsid w:val="001622AA"/>
    <w:rsid w:val="00171623"/>
    <w:rsid w:val="001B2C51"/>
    <w:rsid w:val="002F4E00"/>
    <w:rsid w:val="0037758B"/>
    <w:rsid w:val="003777CF"/>
    <w:rsid w:val="00392C64"/>
    <w:rsid w:val="004B6552"/>
    <w:rsid w:val="005416E5"/>
    <w:rsid w:val="005C752F"/>
    <w:rsid w:val="0062519E"/>
    <w:rsid w:val="00655C43"/>
    <w:rsid w:val="006D736D"/>
    <w:rsid w:val="00716460"/>
    <w:rsid w:val="00850ED8"/>
    <w:rsid w:val="0085499D"/>
    <w:rsid w:val="00957334"/>
    <w:rsid w:val="009A2701"/>
    <w:rsid w:val="00B10AAB"/>
    <w:rsid w:val="00B93EC4"/>
    <w:rsid w:val="00BC18B3"/>
    <w:rsid w:val="00C80BBB"/>
    <w:rsid w:val="00C93F41"/>
    <w:rsid w:val="00C941F7"/>
    <w:rsid w:val="00CA084F"/>
    <w:rsid w:val="00CC23CE"/>
    <w:rsid w:val="00D76088"/>
    <w:rsid w:val="00DD5A1E"/>
    <w:rsid w:val="00F1750E"/>
    <w:rsid w:val="00F2781C"/>
    <w:rsid w:val="00F76168"/>
    <w:rsid w:val="00FE0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59AB"/>
  <w15:chartTrackingRefBased/>
  <w15:docId w15:val="{B8B77BB7-EA62-421A-8258-EABDA9D7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C43"/>
    <w:pPr>
      <w:spacing w:after="0" w:line="240" w:lineRule="auto"/>
    </w:pPr>
    <w:rPr>
      <w:rFonts w:ascii="Calibri" w:hAnsi="Calibri" w:cs="Calibri"/>
    </w:rPr>
  </w:style>
  <w:style w:type="paragraph" w:styleId="Heading1">
    <w:name w:val="heading 1"/>
    <w:basedOn w:val="Normal"/>
    <w:next w:val="Normal"/>
    <w:link w:val="Heading1Char"/>
    <w:qFormat/>
    <w:rsid w:val="00171623"/>
    <w:pPr>
      <w:keepNext/>
      <w:numPr>
        <w:numId w:val="5"/>
      </w:numPr>
      <w:tabs>
        <w:tab w:val="clear" w:pos="-491"/>
        <w:tab w:val="num" w:pos="0"/>
      </w:tabs>
      <w:spacing w:after="240"/>
      <w:ind w:left="0" w:hanging="851"/>
      <w:outlineLvl w:val="0"/>
    </w:pPr>
    <w:rPr>
      <w:rFonts w:ascii="Arial" w:eastAsia="Times New Roman" w:hAnsi="Arial" w:cs="Times New Roman"/>
      <w:b/>
      <w:sz w:val="28"/>
      <w:szCs w:val="24"/>
      <w:lang w:eastAsia="en-GB"/>
    </w:rPr>
  </w:style>
  <w:style w:type="paragraph" w:styleId="Heading2">
    <w:name w:val="heading 2"/>
    <w:basedOn w:val="Normal"/>
    <w:next w:val="Normal"/>
    <w:link w:val="Heading2Char"/>
    <w:qFormat/>
    <w:rsid w:val="00171623"/>
    <w:pPr>
      <w:keepNext/>
      <w:numPr>
        <w:ilvl w:val="1"/>
        <w:numId w:val="5"/>
      </w:numPr>
      <w:spacing w:after="120"/>
      <w:ind w:left="0" w:hanging="851"/>
      <w:jc w:val="both"/>
      <w:outlineLvl w:val="1"/>
    </w:pPr>
    <w:rPr>
      <w:rFonts w:ascii="Arial" w:eastAsia="Times New Roman" w:hAnsi="Arial" w:cs="Arial"/>
      <w:bCs/>
      <w:iCs/>
      <w:sz w:val="26"/>
      <w:szCs w:val="26"/>
      <w:lang w:eastAsia="en-GB"/>
    </w:rPr>
  </w:style>
  <w:style w:type="paragraph" w:styleId="Heading3">
    <w:name w:val="heading 3"/>
    <w:basedOn w:val="Normal"/>
    <w:next w:val="Normal"/>
    <w:link w:val="Heading3Char"/>
    <w:qFormat/>
    <w:rsid w:val="00171623"/>
    <w:pPr>
      <w:keepNext/>
      <w:numPr>
        <w:ilvl w:val="2"/>
        <w:numId w:val="5"/>
      </w:numPr>
      <w:tabs>
        <w:tab w:val="clear" w:pos="589"/>
        <w:tab w:val="num" w:pos="0"/>
      </w:tabs>
      <w:spacing w:after="120"/>
      <w:ind w:left="0" w:hanging="851"/>
      <w:jc w:val="both"/>
      <w:outlineLvl w:val="2"/>
    </w:pPr>
    <w:rPr>
      <w:rFonts w:ascii="Arial" w:eastAsia="Times New Roman" w:hAnsi="Arial" w:cs="Arial"/>
      <w:bCs/>
      <w:i/>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552"/>
    <w:pPr>
      <w:ind w:left="720"/>
      <w:contextualSpacing/>
    </w:pPr>
  </w:style>
  <w:style w:type="character" w:styleId="Hyperlink">
    <w:name w:val="Hyperlink"/>
    <w:basedOn w:val="DefaultParagraphFont"/>
    <w:uiPriority w:val="99"/>
    <w:semiHidden/>
    <w:unhideWhenUsed/>
    <w:rsid w:val="00106FC1"/>
    <w:rPr>
      <w:color w:val="0000FF"/>
      <w:u w:val="single"/>
    </w:rPr>
  </w:style>
  <w:style w:type="character" w:customStyle="1" w:styleId="Heading1Char">
    <w:name w:val="Heading 1 Char"/>
    <w:basedOn w:val="DefaultParagraphFont"/>
    <w:link w:val="Heading1"/>
    <w:rsid w:val="00171623"/>
    <w:rPr>
      <w:rFonts w:ascii="Arial" w:eastAsia="Times New Roman" w:hAnsi="Arial" w:cs="Times New Roman"/>
      <w:b/>
      <w:sz w:val="28"/>
      <w:szCs w:val="24"/>
      <w:lang w:eastAsia="en-GB"/>
    </w:rPr>
  </w:style>
  <w:style w:type="character" w:customStyle="1" w:styleId="Heading2Char">
    <w:name w:val="Heading 2 Char"/>
    <w:basedOn w:val="DefaultParagraphFont"/>
    <w:link w:val="Heading2"/>
    <w:rsid w:val="00171623"/>
    <w:rPr>
      <w:rFonts w:ascii="Arial" w:eastAsia="Times New Roman" w:hAnsi="Arial" w:cs="Arial"/>
      <w:bCs/>
      <w:iCs/>
      <w:sz w:val="26"/>
      <w:szCs w:val="26"/>
      <w:lang w:eastAsia="en-GB"/>
    </w:rPr>
  </w:style>
  <w:style w:type="character" w:customStyle="1" w:styleId="Heading3Char">
    <w:name w:val="Heading 3 Char"/>
    <w:basedOn w:val="DefaultParagraphFont"/>
    <w:link w:val="Heading3"/>
    <w:rsid w:val="00171623"/>
    <w:rPr>
      <w:rFonts w:ascii="Arial" w:eastAsia="Times New Roman" w:hAnsi="Arial" w:cs="Arial"/>
      <w:bCs/>
      <w:i/>
      <w:szCs w:val="26"/>
      <w:lang w:eastAsia="en-GB"/>
    </w:rPr>
  </w:style>
  <w:style w:type="paragraph" w:styleId="Footer">
    <w:name w:val="footer"/>
    <w:basedOn w:val="Normal"/>
    <w:link w:val="FooterChar"/>
    <w:semiHidden/>
    <w:rsid w:val="00171623"/>
    <w:pPr>
      <w:tabs>
        <w:tab w:val="center" w:pos="4153"/>
        <w:tab w:val="right" w:pos="8306"/>
      </w:tabs>
      <w:spacing w:after="240"/>
      <w:jc w:val="both"/>
    </w:pPr>
    <w:rPr>
      <w:rFonts w:ascii="Arial" w:eastAsia="Times New Roman" w:hAnsi="Arial" w:cs="Times New Roman"/>
      <w:szCs w:val="24"/>
    </w:rPr>
  </w:style>
  <w:style w:type="character" w:customStyle="1" w:styleId="FooterChar">
    <w:name w:val="Footer Char"/>
    <w:basedOn w:val="DefaultParagraphFont"/>
    <w:link w:val="Footer"/>
    <w:semiHidden/>
    <w:rsid w:val="00171623"/>
    <w:rPr>
      <w:rFonts w:ascii="Arial" w:eastAsia="Times New Roman" w:hAnsi="Arial" w:cs="Times New Roman"/>
      <w:szCs w:val="24"/>
    </w:rPr>
  </w:style>
  <w:style w:type="paragraph" w:styleId="BodyText2">
    <w:name w:val="Body Text 2"/>
    <w:basedOn w:val="Normal"/>
    <w:link w:val="BodyText2Char"/>
    <w:semiHidden/>
    <w:rsid w:val="00171623"/>
    <w:pPr>
      <w:spacing w:before="120"/>
    </w:pPr>
    <w:rPr>
      <w:rFonts w:ascii="Arial" w:eastAsia="Times New Roman" w:hAnsi="Arial" w:cs="Times New Roman"/>
      <w:szCs w:val="24"/>
    </w:rPr>
  </w:style>
  <w:style w:type="character" w:customStyle="1" w:styleId="BodyText2Char">
    <w:name w:val="Body Text 2 Char"/>
    <w:basedOn w:val="DefaultParagraphFont"/>
    <w:link w:val="BodyText2"/>
    <w:semiHidden/>
    <w:rsid w:val="00171623"/>
    <w:rPr>
      <w:rFonts w:ascii="Arial" w:eastAsia="Times New Roman" w:hAnsi="Arial" w:cs="Times New Roman"/>
      <w:szCs w:val="24"/>
    </w:rPr>
  </w:style>
  <w:style w:type="character" w:styleId="CommentReference">
    <w:name w:val="annotation reference"/>
    <w:uiPriority w:val="99"/>
    <w:semiHidden/>
    <w:unhideWhenUsed/>
    <w:rsid w:val="00171623"/>
    <w:rPr>
      <w:sz w:val="16"/>
      <w:szCs w:val="16"/>
    </w:rPr>
  </w:style>
  <w:style w:type="paragraph" w:styleId="CommentText">
    <w:name w:val="annotation text"/>
    <w:basedOn w:val="Normal"/>
    <w:link w:val="CommentTextChar"/>
    <w:uiPriority w:val="99"/>
    <w:semiHidden/>
    <w:unhideWhenUsed/>
    <w:rsid w:val="00171623"/>
    <w:pPr>
      <w:tabs>
        <w:tab w:val="left" w:pos="0"/>
      </w:tabs>
      <w:spacing w:after="240"/>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171623"/>
    <w:rPr>
      <w:rFonts w:ascii="Arial" w:eastAsia="Times New Roman" w:hAnsi="Arial" w:cs="Times New Roman"/>
      <w:sz w:val="20"/>
      <w:szCs w:val="20"/>
    </w:rPr>
  </w:style>
  <w:style w:type="paragraph" w:styleId="NormalWeb">
    <w:name w:val="Normal (Web)"/>
    <w:basedOn w:val="Normal"/>
    <w:uiPriority w:val="99"/>
    <w:semiHidden/>
    <w:unhideWhenUsed/>
    <w:rsid w:val="0017162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uiPriority w:val="22"/>
    <w:qFormat/>
    <w:rsid w:val="00171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7692">
      <w:bodyDiv w:val="1"/>
      <w:marLeft w:val="0"/>
      <w:marRight w:val="0"/>
      <w:marTop w:val="0"/>
      <w:marBottom w:val="0"/>
      <w:divBdr>
        <w:top w:val="none" w:sz="0" w:space="0" w:color="auto"/>
        <w:left w:val="none" w:sz="0" w:space="0" w:color="auto"/>
        <w:bottom w:val="none" w:sz="0" w:space="0" w:color="auto"/>
        <w:right w:val="none" w:sz="0" w:space="0" w:color="auto"/>
      </w:divBdr>
    </w:div>
    <w:div w:id="20822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about-council/borough-plan-2019-23" TargetMode="External"/><Relationship Id="rId5" Type="http://schemas.openxmlformats.org/officeDocument/2006/relationships/hyperlink" Target="http://intranet/sites/intranet/files/ph_structure_chart_sept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Otiti Susan</dc:creator>
  <cp:keywords/>
  <dc:description/>
  <cp:lastModifiedBy>Otiti Susan</cp:lastModifiedBy>
  <cp:revision>2</cp:revision>
  <dcterms:created xsi:type="dcterms:W3CDTF">2022-02-03T22:13:00Z</dcterms:created>
  <dcterms:modified xsi:type="dcterms:W3CDTF">2022-02-03T22:13:00Z</dcterms:modified>
</cp:coreProperties>
</file>